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5390" w14:textId="77777777" w:rsidR="001B3AB7" w:rsidRDefault="000C4C9F">
      <w:pPr>
        <w:spacing w:before="100"/>
      </w:pPr>
      <w:r>
        <w:rPr>
          <w:rFonts w:ascii="Inter" w:eastAsia="Inter" w:hAnsi="Inter" w:cs="Inter"/>
          <w:b/>
          <w:bCs/>
          <w:color w:val="26223E"/>
          <w:sz w:val="30"/>
          <w:szCs w:val="30"/>
        </w:rPr>
        <w:t>STOP DOING SAFETY FOR THEM</w:t>
      </w:r>
    </w:p>
    <w:p w14:paraId="4D16A962" w14:textId="77777777" w:rsidR="001B3AB7" w:rsidRDefault="000C4C9F">
      <w:pPr>
        <w:spacing w:before="15" w:after="70"/>
      </w:pPr>
      <w:r>
        <w:rPr>
          <w:rFonts w:ascii="Inter" w:eastAsia="Inter" w:hAnsi="Inter" w:cs="Inter"/>
          <w:b/>
          <w:bCs/>
          <w:color w:val="5CB85C"/>
          <w:sz w:val="22"/>
          <w:szCs w:val="22"/>
        </w:rPr>
        <w:t>RACI FOR SAFETY</w:t>
      </w:r>
    </w:p>
    <w:p w14:paraId="796CE7EB" w14:textId="77777777" w:rsidR="001B3AB7" w:rsidRDefault="000C4C9F">
      <w:pPr>
        <w:spacing w:after="90"/>
      </w:pPr>
      <w:r>
        <w:rPr>
          <w:rFonts w:ascii="Open Sans" w:eastAsia="Open Sans" w:hAnsi="Open Sans" w:cs="Open Sans"/>
          <w:i/>
          <w:iCs/>
          <w:color w:val="8A8A99"/>
          <w:sz w:val="18"/>
          <w:szCs w:val="18"/>
        </w:rPr>
        <w:t xml:space="preserve">A one-page accountability grid. Fill in one column per role in your org. The rule that makes it </w:t>
      </w:r>
      <w:proofErr w:type="gramStart"/>
      <w:r>
        <w:rPr>
          <w:rFonts w:ascii="Open Sans" w:eastAsia="Open Sans" w:hAnsi="Open Sans" w:cs="Open Sans"/>
          <w:i/>
          <w:iCs/>
          <w:color w:val="8A8A99"/>
          <w:sz w:val="18"/>
          <w:szCs w:val="18"/>
        </w:rPr>
        <w:t>work:</w:t>
      </w:r>
      <w:proofErr w:type="gramEnd"/>
      <w:r>
        <w:rPr>
          <w:rFonts w:ascii="Open Sans" w:eastAsia="Open Sans" w:hAnsi="Open Sans" w:cs="Open Sans"/>
          <w:i/>
          <w:iCs/>
          <w:color w:val="8A8A99"/>
          <w:sz w:val="18"/>
          <w:szCs w:val="18"/>
        </w:rPr>
        <w:t xml:space="preserve"> only one A per row.</w:t>
      </w:r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5"/>
        <w:gridCol w:w="3325"/>
        <w:gridCol w:w="3325"/>
        <w:gridCol w:w="3325"/>
      </w:tblGrid>
      <w:tr w:rsidR="001B3AB7" w14:paraId="70A942F5" w14:textId="77777777">
        <w:tblPrEx>
          <w:tblCellMar>
            <w:top w:w="0" w:type="dxa"/>
            <w:bottom w:w="0" w:type="dxa"/>
          </w:tblCellMar>
        </w:tblPrEx>
        <w:tc>
          <w:tcPr>
            <w:tcW w:w="33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0A21F9" w14:textId="77777777" w:rsidR="001B3AB7" w:rsidRDefault="000C4C9F">
            <w:pPr>
              <w:spacing w:after="40"/>
            </w:pPr>
            <w:proofErr w:type="gramStart"/>
            <w:r>
              <w:rPr>
                <w:rFonts w:ascii="Inter" w:eastAsia="Inter" w:hAnsi="Inter" w:cs="Inter"/>
                <w:b/>
                <w:bCs/>
                <w:color w:val="1E8DFD"/>
                <w:sz w:val="22"/>
                <w:szCs w:val="22"/>
              </w:rPr>
              <w:t xml:space="preserve">R  </w:t>
            </w:r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Responsible</w:t>
            </w:r>
            <w:proofErr w:type="gramEnd"/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 xml:space="preserve"> — does the work</w:t>
            </w:r>
          </w:p>
        </w:tc>
        <w:tc>
          <w:tcPr>
            <w:tcW w:w="33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C6342F" w14:textId="77777777" w:rsidR="001B3AB7" w:rsidRDefault="000C4C9F">
            <w:pPr>
              <w:spacing w:after="40"/>
            </w:pPr>
            <w:proofErr w:type="gramStart"/>
            <w:r>
              <w:rPr>
                <w:rFonts w:ascii="Inter" w:eastAsia="Inter" w:hAnsi="Inter" w:cs="Inter"/>
                <w:b/>
                <w:bCs/>
                <w:color w:val="F68C1F"/>
                <w:sz w:val="22"/>
                <w:szCs w:val="22"/>
              </w:rPr>
              <w:t xml:space="preserve">A  </w:t>
            </w:r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Accountable</w:t>
            </w:r>
            <w:proofErr w:type="gramEnd"/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 xml:space="preserve"> — owns the outcome (only one per row)</w:t>
            </w:r>
          </w:p>
        </w:tc>
        <w:tc>
          <w:tcPr>
            <w:tcW w:w="33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3CCCA0B" w14:textId="77777777" w:rsidR="001B3AB7" w:rsidRDefault="000C4C9F">
            <w:pPr>
              <w:spacing w:after="40"/>
            </w:pPr>
            <w:proofErr w:type="gramStart"/>
            <w:r>
              <w:rPr>
                <w:rFonts w:ascii="Inter" w:eastAsia="Inter" w:hAnsi="Inter" w:cs="Inter"/>
                <w:b/>
                <w:bCs/>
                <w:color w:val="5CB85C"/>
                <w:sz w:val="22"/>
                <w:szCs w:val="22"/>
              </w:rPr>
              <w:t xml:space="preserve">C  </w:t>
            </w:r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Consulted</w:t>
            </w:r>
            <w:proofErr w:type="gramEnd"/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 xml:space="preserve"> — two-way input before deciding</w:t>
            </w:r>
          </w:p>
        </w:tc>
        <w:tc>
          <w:tcPr>
            <w:tcW w:w="33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6FA8BD" w14:textId="77777777" w:rsidR="001B3AB7" w:rsidRDefault="000C4C9F">
            <w:pPr>
              <w:spacing w:after="40"/>
            </w:pPr>
            <w:proofErr w:type="gramStart"/>
            <w:r>
              <w:rPr>
                <w:rFonts w:ascii="Inter" w:eastAsia="Inter" w:hAnsi="Inter" w:cs="Inter"/>
                <w:b/>
                <w:bCs/>
                <w:color w:val="8A8A99"/>
                <w:sz w:val="22"/>
                <w:szCs w:val="22"/>
              </w:rPr>
              <w:t xml:space="preserve">I  </w:t>
            </w:r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Informed</w:t>
            </w:r>
            <w:proofErr w:type="gramEnd"/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 xml:space="preserve"> — one-way notification after</w:t>
            </w:r>
          </w:p>
        </w:tc>
      </w:tr>
    </w:tbl>
    <w:p w14:paraId="287AAB37" w14:textId="77777777" w:rsidR="001B3AB7" w:rsidRDefault="001B3AB7">
      <w:pPr>
        <w:spacing w:after="70"/>
      </w:pPr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900"/>
        <w:gridCol w:w="2050"/>
        <w:gridCol w:w="1900"/>
        <w:gridCol w:w="2050"/>
      </w:tblGrid>
      <w:tr w:rsidR="001B3AB7" w14:paraId="5C85E6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26223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071A5A" w14:textId="77777777" w:rsidR="001B3AB7" w:rsidRDefault="000C4C9F">
            <w:pPr>
              <w:jc w:val="center"/>
            </w:pPr>
            <w:r>
              <w:rPr>
                <w:rFonts w:ascii="Inter" w:eastAsia="Inter" w:hAnsi="Inter" w:cs="Inter"/>
                <w:b/>
                <w:bCs/>
                <w:color w:val="FFFFFF"/>
                <w:sz w:val="18"/>
                <w:szCs w:val="18"/>
              </w:rPr>
              <w:t>Activity or Decision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26223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A991A" w14:textId="77777777" w:rsidR="001B3AB7" w:rsidRDefault="000C4C9F">
            <w:pPr>
              <w:jc w:val="center"/>
            </w:pPr>
            <w:r>
              <w:rPr>
                <w:rFonts w:ascii="Inter" w:eastAsia="Inter" w:hAnsi="Inter" w:cs="Inter"/>
                <w:b/>
                <w:bCs/>
                <w:color w:val="FFFFFF"/>
                <w:sz w:val="18"/>
                <w:szCs w:val="18"/>
              </w:rPr>
              <w:t>Executive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26223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0734D" w14:textId="77777777" w:rsidR="001B3AB7" w:rsidRDefault="000C4C9F">
            <w:pPr>
              <w:jc w:val="center"/>
            </w:pPr>
            <w:r>
              <w:rPr>
                <w:rFonts w:ascii="Inter" w:eastAsia="Inter" w:hAnsi="Inter" w:cs="Inter"/>
                <w:b/>
                <w:bCs/>
                <w:color w:val="FFFFFF"/>
                <w:sz w:val="18"/>
                <w:szCs w:val="18"/>
              </w:rPr>
              <w:t>Supervisor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26223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F450BA" w14:textId="77777777" w:rsidR="001B3AB7" w:rsidRDefault="000C4C9F">
            <w:pPr>
              <w:jc w:val="center"/>
            </w:pPr>
            <w:r>
              <w:rPr>
                <w:rFonts w:ascii="Inter" w:eastAsia="Inter" w:hAnsi="Inter" w:cs="Inter"/>
                <w:b/>
                <w:bCs/>
                <w:color w:val="FFFFFF"/>
                <w:sz w:val="18"/>
                <w:szCs w:val="18"/>
              </w:rPr>
              <w:t>Worker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26223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9BDDF" w14:textId="77777777" w:rsidR="001B3AB7" w:rsidRDefault="000C4C9F">
            <w:pPr>
              <w:jc w:val="center"/>
            </w:pPr>
            <w:r>
              <w:rPr>
                <w:rFonts w:ascii="Inter" w:eastAsia="Inter" w:hAnsi="Inter" w:cs="Inter"/>
                <w:b/>
                <w:bCs/>
                <w:color w:val="FFFFFF"/>
                <w:sz w:val="18"/>
                <w:szCs w:val="18"/>
              </w:rPr>
              <w:t>EHS</w:t>
            </w:r>
          </w:p>
        </w:tc>
      </w:tr>
      <w:tr w:rsidR="001B3AB7" w14:paraId="23B713D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F18228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Setting site safety strategy &amp; risk appetite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1AF36D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F96D9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EE479F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3E6BB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2CBF695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81CA98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Resourcing the safety program (budget, headcount)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4603B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0A06F5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B9BFAA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FAD4B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770CAA3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3907EC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Establishing safety training standards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F1AFFE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F97326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C3446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242E30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1F49175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EA3A4C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Delivering role-specific safety training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CB5273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26BB4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EB60CB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ED28F5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0A76BE7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116ABA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Daily hazard identification on the floor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3840A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1533C3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6FABA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196650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26D903A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75A5F0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Deciding whether a task is safe to proceed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6B9F56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CC741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8E8BFD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9D6FD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51F6E4F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E6D97AC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Exercising stop-work authority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608D4E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19D1D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94CDC0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A5F6B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33F9798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BB5FDB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Pre-task safety briefings / toolbox talks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912E6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36E031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437B1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D5D92D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513E0A9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B8FDDA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PPE selection &amp; specification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F4FB0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0F552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60113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8187A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6366281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29963A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PPE fit verification for each worker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751891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C694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A003F6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4EA8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2BD7CAC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1DD01A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Enforcing safe work procedures in real time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C5610B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28B68A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EFBA4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CA1014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6BB4813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89E86B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Coaching unsafe behavior at point of occurrence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A5FAF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9A4C2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68F76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E8AFFF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6A41F01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CEAC19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 xml:space="preserve">Reporting incidents &amp; </w:t>
            </w:r>
            <w:proofErr w:type="gramStart"/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near-misses</w:t>
            </w:r>
            <w:proofErr w:type="gramEnd"/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ACF1B4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C17031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F9CD8E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FC4EA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38CD4B5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EA48D33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Incident investigation — facilitation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C9DE7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68DF64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4EB67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BB342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78E1C43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CFE36E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Incident investigation — root cause ownership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54CDD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69E456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697D4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F8C672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03E593F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31C37C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Corrective action implementation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251A6D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73B225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861AAB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9FB2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1F99124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9692692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Recordability determination (borderline cases)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F9745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F154D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0CC7F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—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C1D86F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208CBE7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5F4CF1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OSHA 300 / 300A / 301 recordkeeping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178BE6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EC1EE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42BD52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—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65E84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5787E63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72B5F0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Regulatory interpretation &amp; standards guidance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BA9D92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3B944D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B5128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94CCF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28D43F8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988914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Contractor safety oversight — day-to-day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CF92B7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3C5722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E7BFB1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B1CB61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2217F90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95D81C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Contractor safety oversight — program design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90A19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94A5D3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A8CC9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E7BBAF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</w:tr>
      <w:tr w:rsidR="001B3AB7" w14:paraId="2211914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BA1E59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Emergency response — command on scene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2AFFC4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A2EE54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DC41D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795DD5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7C82320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FFA6B7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Consequences for safety non-compliance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AB845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019B03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A4708C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7E7603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  <w:tr w:rsidR="001B3AB7" w14:paraId="4064BF8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C6D1D9" w14:textId="77777777" w:rsidR="001B3AB7" w:rsidRDefault="000C4C9F">
            <w:r>
              <w:rPr>
                <w:rFonts w:ascii="Open Sans" w:eastAsia="Open Sans" w:hAnsi="Open Sans" w:cs="Open Sans"/>
                <w:color w:val="26223E"/>
                <w:sz w:val="18"/>
                <w:szCs w:val="18"/>
              </w:rPr>
              <w:t>Executive review of safety performance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D436E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F68C1F"/>
                <w:sz w:val="18"/>
                <w:szCs w:val="18"/>
              </w:rPr>
              <w:t>A</w:t>
            </w:r>
            <w:r>
              <w:rPr>
                <w:rFonts w:ascii="Open Sans" w:eastAsia="Open Sans" w:hAnsi="Open Sans" w:cs="Open Sans"/>
                <w:color w:val="8A8A99"/>
                <w:sz w:val="18"/>
                <w:szCs w:val="18"/>
              </w:rPr>
              <w:t>/</w:t>
            </w: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R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C0A562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190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9572F3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I</w:t>
            </w:r>
          </w:p>
        </w:tc>
        <w:tc>
          <w:tcPr>
            <w:tcW w:w="2050" w:type="dxa"/>
            <w:tcBorders>
              <w:top w:val="single" w:sz="2" w:space="0" w:color="E3E3E8"/>
              <w:left w:val="single" w:sz="2" w:space="0" w:color="E3E3E8"/>
              <w:bottom w:val="single" w:sz="2" w:space="0" w:color="E3E3E8"/>
              <w:right w:val="single" w:sz="2" w:space="0" w:color="E3E3E8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679FA8" w14:textId="77777777" w:rsidR="001B3AB7" w:rsidRDefault="000C4C9F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26223E"/>
                <w:sz w:val="18"/>
                <w:szCs w:val="18"/>
              </w:rPr>
              <w:t>C</w:t>
            </w:r>
          </w:p>
        </w:tc>
      </w:tr>
    </w:tbl>
    <w:p w14:paraId="74149387" w14:textId="77777777" w:rsidR="001B3AB7" w:rsidRDefault="001B3AB7">
      <w:pPr>
        <w:spacing w:after="100"/>
      </w:pPr>
    </w:p>
    <w:p w14:paraId="546C9B0D" w14:textId="77777777" w:rsidR="001B3AB7" w:rsidRDefault="000C4C9F">
      <w:pPr>
        <w:spacing w:after="60"/>
      </w:pPr>
      <w:r>
        <w:rPr>
          <w:rFonts w:ascii="Inter" w:eastAsia="Inter" w:hAnsi="Inter" w:cs="Inter"/>
          <w:b/>
          <w:bCs/>
          <w:color w:val="26223E"/>
          <w:sz w:val="19"/>
          <w:szCs w:val="19"/>
        </w:rPr>
        <w:t>HOW TO USE THIS IN THE NEXT 7 DAYS</w:t>
      </w:r>
    </w:p>
    <w:p w14:paraId="6585290C" w14:textId="77777777" w:rsidR="001B3AB7" w:rsidRDefault="000C4C9F">
      <w:pPr>
        <w:spacing w:after="40"/>
        <w:ind w:left="260" w:hanging="260"/>
      </w:pPr>
      <w:r>
        <w:rPr>
          <w:rFonts w:ascii="Open Sans" w:eastAsia="Open Sans" w:hAnsi="Open Sans" w:cs="Open Sans"/>
          <w:b/>
          <w:bCs/>
          <w:color w:val="F68C1F"/>
          <w:sz w:val="18"/>
          <w:szCs w:val="18"/>
        </w:rPr>
        <w:t>1</w:t>
      </w:r>
      <w:proofErr w:type="gramStart"/>
      <w:r>
        <w:rPr>
          <w:rFonts w:ascii="Open Sans" w:eastAsia="Open Sans" w:hAnsi="Open Sans" w:cs="Open Sans"/>
          <w:b/>
          <w:bCs/>
          <w:color w:val="F68C1F"/>
          <w:sz w:val="18"/>
          <w:szCs w:val="18"/>
        </w:rPr>
        <w:t xml:space="preserve">.  </w:t>
      </w:r>
      <w:r>
        <w:rPr>
          <w:rFonts w:ascii="Open Sans" w:eastAsia="Open Sans" w:hAnsi="Open Sans" w:cs="Open Sans"/>
          <w:color w:val="26223E"/>
          <w:sz w:val="18"/>
          <w:szCs w:val="18"/>
        </w:rPr>
        <w:t>Print</w:t>
      </w:r>
      <w:proofErr w:type="gramEnd"/>
      <w:r>
        <w:rPr>
          <w:rFonts w:ascii="Open Sans" w:eastAsia="Open Sans" w:hAnsi="Open Sans" w:cs="Open Sans"/>
          <w:color w:val="26223E"/>
          <w:sz w:val="18"/>
          <w:szCs w:val="18"/>
        </w:rPr>
        <w:t xml:space="preserve"> two copies. Fill column one with how your org </w:t>
      </w:r>
      <w:proofErr w:type="gramStart"/>
      <w:r>
        <w:rPr>
          <w:rFonts w:ascii="Open Sans" w:eastAsia="Open Sans" w:hAnsi="Open Sans" w:cs="Open Sans"/>
          <w:color w:val="26223E"/>
          <w:sz w:val="18"/>
          <w:szCs w:val="18"/>
        </w:rPr>
        <w:t>actually operates</w:t>
      </w:r>
      <w:proofErr w:type="gramEnd"/>
      <w:r>
        <w:rPr>
          <w:rFonts w:ascii="Open Sans" w:eastAsia="Open Sans" w:hAnsi="Open Sans" w:cs="Open Sans"/>
          <w:color w:val="26223E"/>
          <w:sz w:val="18"/>
          <w:szCs w:val="18"/>
        </w:rPr>
        <w:t xml:space="preserve"> today; column two with how it should operate.</w:t>
      </w:r>
    </w:p>
    <w:p w14:paraId="40849DB5" w14:textId="77777777" w:rsidR="001B3AB7" w:rsidRDefault="000C4C9F">
      <w:pPr>
        <w:spacing w:after="40"/>
        <w:ind w:left="260" w:hanging="260"/>
      </w:pPr>
      <w:r>
        <w:rPr>
          <w:rFonts w:ascii="Open Sans" w:eastAsia="Open Sans" w:hAnsi="Open Sans" w:cs="Open Sans"/>
          <w:b/>
          <w:bCs/>
          <w:color w:val="F68C1F"/>
          <w:sz w:val="18"/>
          <w:szCs w:val="18"/>
        </w:rPr>
        <w:lastRenderedPageBreak/>
        <w:t>2</w:t>
      </w:r>
      <w:proofErr w:type="gramStart"/>
      <w:r>
        <w:rPr>
          <w:rFonts w:ascii="Open Sans" w:eastAsia="Open Sans" w:hAnsi="Open Sans" w:cs="Open Sans"/>
          <w:b/>
          <w:bCs/>
          <w:color w:val="F68C1F"/>
          <w:sz w:val="18"/>
          <w:szCs w:val="18"/>
        </w:rPr>
        <w:t xml:space="preserve">.  </w:t>
      </w:r>
      <w:r>
        <w:rPr>
          <w:rFonts w:ascii="Open Sans" w:eastAsia="Open Sans" w:hAnsi="Open Sans" w:cs="Open Sans"/>
          <w:color w:val="26223E"/>
          <w:sz w:val="18"/>
          <w:szCs w:val="18"/>
        </w:rPr>
        <w:t>Every</w:t>
      </w:r>
      <w:proofErr w:type="gramEnd"/>
      <w:r>
        <w:rPr>
          <w:rFonts w:ascii="Open Sans" w:eastAsia="Open Sans" w:hAnsi="Open Sans" w:cs="Open Sans"/>
          <w:color w:val="26223E"/>
          <w:sz w:val="18"/>
          <w:szCs w:val="18"/>
        </w:rPr>
        <w:t xml:space="preserve"> row where the two disagree is a redistribution conversation — start where EHS is A but should be C or R.</w:t>
      </w:r>
    </w:p>
    <w:p w14:paraId="3AA2F542" w14:textId="77777777" w:rsidR="001B3AB7" w:rsidRDefault="000C4C9F">
      <w:pPr>
        <w:spacing w:after="20"/>
        <w:ind w:left="260" w:hanging="260"/>
      </w:pPr>
      <w:r>
        <w:rPr>
          <w:rFonts w:ascii="Open Sans" w:eastAsia="Open Sans" w:hAnsi="Open Sans" w:cs="Open Sans"/>
          <w:b/>
          <w:bCs/>
          <w:color w:val="F68C1F"/>
          <w:sz w:val="18"/>
          <w:szCs w:val="18"/>
        </w:rPr>
        <w:t>3</w:t>
      </w:r>
      <w:proofErr w:type="gramStart"/>
      <w:r>
        <w:rPr>
          <w:rFonts w:ascii="Open Sans" w:eastAsia="Open Sans" w:hAnsi="Open Sans" w:cs="Open Sans"/>
          <w:b/>
          <w:bCs/>
          <w:color w:val="F68C1F"/>
          <w:sz w:val="18"/>
          <w:szCs w:val="18"/>
        </w:rPr>
        <w:t xml:space="preserve">.  </w:t>
      </w:r>
      <w:r>
        <w:rPr>
          <w:rFonts w:ascii="Open Sans" w:eastAsia="Open Sans" w:hAnsi="Open Sans" w:cs="Open Sans"/>
          <w:color w:val="26223E"/>
          <w:sz w:val="18"/>
          <w:szCs w:val="18"/>
        </w:rPr>
        <w:t>Bring</w:t>
      </w:r>
      <w:proofErr w:type="gramEnd"/>
      <w:r>
        <w:rPr>
          <w:rFonts w:ascii="Open Sans" w:eastAsia="Open Sans" w:hAnsi="Open Sans" w:cs="Open Sans"/>
          <w:color w:val="26223E"/>
          <w:sz w:val="18"/>
          <w:szCs w:val="18"/>
        </w:rPr>
        <w:t xml:space="preserve"> the completed grid to your next leadership 1:1 and get their signature on the rows they agree with.</w:t>
      </w:r>
    </w:p>
    <w:sectPr w:rsidR="001B3AB7">
      <w:headerReference w:type="default" r:id="rId7"/>
      <w:footerReference w:type="default" r:id="rId8"/>
      <w:pgSz w:w="15840" w:h="12240" w:orient="landscape"/>
      <w:pgMar w:top="400" w:right="720" w:bottom="40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985A" w14:textId="77777777" w:rsidR="000C4C9F" w:rsidRDefault="000C4C9F">
      <w:r>
        <w:separator/>
      </w:r>
    </w:p>
  </w:endnote>
  <w:endnote w:type="continuationSeparator" w:id="0">
    <w:p w14:paraId="4B35E0F5" w14:textId="77777777" w:rsidR="000C4C9F" w:rsidRDefault="000C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96D6" w14:textId="77777777" w:rsidR="001B3AB7" w:rsidRDefault="000C4C9F">
    <w:pPr>
      <w:shd w:val="clear" w:color="auto" w:fill="5CB85C"/>
      <w:tabs>
        <w:tab w:val="right" w:pos="9350"/>
      </w:tabs>
    </w:pPr>
    <w:r>
      <w:rPr>
        <w:rFonts w:ascii="Open Sans" w:eastAsia="Open Sans" w:hAnsi="Open Sans" w:cs="Open Sans"/>
        <w:b/>
        <w:bCs/>
        <w:color w:val="FFFFFF"/>
        <w:sz w:val="15"/>
        <w:szCs w:val="15"/>
      </w:rPr>
      <w:t>ehsinsight.com</w:t>
    </w:r>
    <w:r>
      <w:tab/>
    </w:r>
    <w:r>
      <w:rPr>
        <w:rFonts w:ascii="Open Sans" w:eastAsia="Open Sans" w:hAnsi="Open Sans" w:cs="Open Sans"/>
        <w:color w:val="FFFFFF"/>
        <w:sz w:val="15"/>
        <w:szCs w:val="15"/>
      </w:rPr>
      <w:t xml:space="preserve">Take-home asset 1 of 3   |   page </w:t>
    </w:r>
    <w:r>
      <w:rPr>
        <w:rFonts w:ascii="Open Sans" w:eastAsia="Open Sans" w:hAnsi="Open Sans" w:cs="Open Sans"/>
        <w:color w:val="FFFFFF"/>
        <w:sz w:val="15"/>
        <w:szCs w:val="15"/>
      </w:rPr>
      <w:fldChar w:fldCharType="begin"/>
    </w:r>
    <w:r>
      <w:rPr>
        <w:rFonts w:ascii="Open Sans" w:eastAsia="Open Sans" w:hAnsi="Open Sans" w:cs="Open Sans"/>
        <w:color w:val="FFFFFF"/>
        <w:sz w:val="15"/>
        <w:szCs w:val="15"/>
      </w:rPr>
      <w:instrText>PAGE</w:instrText>
    </w:r>
    <w:r>
      <w:rPr>
        <w:rFonts w:ascii="Open Sans" w:eastAsia="Open Sans" w:hAnsi="Open Sans" w:cs="Open Sans"/>
        <w:color w:val="FFFFFF"/>
        <w:sz w:val="15"/>
        <w:szCs w:val="15"/>
      </w:rPr>
      <w:fldChar w:fldCharType="separate"/>
    </w:r>
    <w:r w:rsidR="00262BB8">
      <w:rPr>
        <w:rFonts w:ascii="Open Sans" w:eastAsia="Open Sans" w:hAnsi="Open Sans" w:cs="Open Sans"/>
        <w:noProof/>
        <w:color w:val="FFFFFF"/>
        <w:sz w:val="15"/>
        <w:szCs w:val="15"/>
      </w:rPr>
      <w:t>1</w:t>
    </w:r>
    <w:r>
      <w:rPr>
        <w:rFonts w:ascii="Open Sans" w:eastAsia="Open Sans" w:hAnsi="Open Sans" w:cs="Open Sans"/>
        <w:color w:val="FFFFFF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5C90" w14:textId="77777777" w:rsidR="000C4C9F" w:rsidRDefault="000C4C9F">
      <w:r>
        <w:separator/>
      </w:r>
    </w:p>
  </w:footnote>
  <w:footnote w:type="continuationSeparator" w:id="0">
    <w:p w14:paraId="230C6EFB" w14:textId="77777777" w:rsidR="000C4C9F" w:rsidRDefault="000C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E2045" w14:textId="77777777" w:rsidR="001B3AB7" w:rsidRDefault="000C4C9F">
    <w:pPr>
      <w:pBdr>
        <w:bottom w:val="single" w:sz="6" w:space="0" w:color="F2F2F2"/>
      </w:pBdr>
      <w:spacing w:after="120"/>
    </w:pPr>
    <w:r>
      <w:rPr>
        <w:noProof/>
      </w:rPr>
      <w:drawing>
        <wp:inline distT="0" distB="0" distL="0" distR="0" wp14:anchorId="0A29127F" wp14:editId="64B75B0A">
          <wp:extent cx="962025" cy="285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36CB9"/>
    <w:multiLevelType w:val="hybridMultilevel"/>
    <w:tmpl w:val="61E61984"/>
    <w:lvl w:ilvl="0" w:tplc="318AF6D2">
      <w:start w:val="1"/>
      <w:numFmt w:val="bullet"/>
      <w:lvlText w:val="●"/>
      <w:lvlJc w:val="left"/>
      <w:pPr>
        <w:ind w:left="720" w:hanging="360"/>
      </w:pPr>
    </w:lvl>
    <w:lvl w:ilvl="1" w:tplc="73169E6C">
      <w:start w:val="1"/>
      <w:numFmt w:val="bullet"/>
      <w:lvlText w:val="○"/>
      <w:lvlJc w:val="left"/>
      <w:pPr>
        <w:ind w:left="1440" w:hanging="360"/>
      </w:pPr>
    </w:lvl>
    <w:lvl w:ilvl="2" w:tplc="33A832A6">
      <w:start w:val="1"/>
      <w:numFmt w:val="bullet"/>
      <w:lvlText w:val="■"/>
      <w:lvlJc w:val="left"/>
      <w:pPr>
        <w:ind w:left="2160" w:hanging="360"/>
      </w:pPr>
    </w:lvl>
    <w:lvl w:ilvl="3" w:tplc="5E683E8E">
      <w:start w:val="1"/>
      <w:numFmt w:val="bullet"/>
      <w:lvlText w:val="●"/>
      <w:lvlJc w:val="left"/>
      <w:pPr>
        <w:ind w:left="2880" w:hanging="360"/>
      </w:pPr>
    </w:lvl>
    <w:lvl w:ilvl="4" w:tplc="2586DD0A">
      <w:start w:val="1"/>
      <w:numFmt w:val="bullet"/>
      <w:lvlText w:val="○"/>
      <w:lvlJc w:val="left"/>
      <w:pPr>
        <w:ind w:left="3600" w:hanging="360"/>
      </w:pPr>
    </w:lvl>
    <w:lvl w:ilvl="5" w:tplc="817290DE">
      <w:start w:val="1"/>
      <w:numFmt w:val="bullet"/>
      <w:lvlText w:val="■"/>
      <w:lvlJc w:val="left"/>
      <w:pPr>
        <w:ind w:left="4320" w:hanging="360"/>
      </w:pPr>
    </w:lvl>
    <w:lvl w:ilvl="6" w:tplc="3ECC91F0">
      <w:start w:val="1"/>
      <w:numFmt w:val="bullet"/>
      <w:lvlText w:val="●"/>
      <w:lvlJc w:val="left"/>
      <w:pPr>
        <w:ind w:left="5040" w:hanging="360"/>
      </w:pPr>
    </w:lvl>
    <w:lvl w:ilvl="7" w:tplc="161ECEE2">
      <w:start w:val="1"/>
      <w:numFmt w:val="bullet"/>
      <w:lvlText w:val="●"/>
      <w:lvlJc w:val="left"/>
      <w:pPr>
        <w:ind w:left="5760" w:hanging="360"/>
      </w:pPr>
    </w:lvl>
    <w:lvl w:ilvl="8" w:tplc="6BBA4ABC">
      <w:start w:val="1"/>
      <w:numFmt w:val="bullet"/>
      <w:lvlText w:val="●"/>
      <w:lvlJc w:val="left"/>
      <w:pPr>
        <w:ind w:left="6480" w:hanging="360"/>
      </w:pPr>
    </w:lvl>
  </w:abstractNum>
  <w:num w:numId="1" w16cid:durableId="1002723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AB7"/>
    <w:rsid w:val="000C4C9F"/>
    <w:rsid w:val="001B3AB7"/>
    <w:rsid w:val="00262BB8"/>
    <w:rsid w:val="00A3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6ADF"/>
  <w15:docId w15:val="{85C02585-3FCF-47C9-8114-EED6ABEE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Gordon</cp:lastModifiedBy>
  <cp:revision>2</cp:revision>
  <dcterms:created xsi:type="dcterms:W3CDTF">2026-08-20T16:02:00Z</dcterms:created>
  <dcterms:modified xsi:type="dcterms:W3CDTF">2026-08-20T16:02:00Z</dcterms:modified>
</cp:coreProperties>
</file>